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Whickham School and Sports College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138430</wp:posOffset>
            </wp:positionV>
            <wp:extent cx="1809750" cy="1362075"/>
            <wp:effectExtent b="0" l="0" r="0" t="0"/>
            <wp:wrapNone/>
            <wp:docPr descr="Logo New" id="6" name="image1.png"/>
            <a:graphic>
              <a:graphicData uri="http://schemas.openxmlformats.org/drawingml/2006/picture">
                <pic:pic>
                  <pic:nvPicPr>
                    <pic:cNvPr descr="Logo Ne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JOB DESCRIPTION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POST: SEND Administrative Officer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GRADE: E SCP 8-11  pro rata to term time plus 5 days,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37 hours per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Whickham is a school at the heart of the community. It is a place in which everybody is valued and where learning is cherished in a safe, caring and supportive environment. A school where everyone is inspired to be the best they can be.</w:t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Core Purpose</w:t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are looking for a committed and enthusiastic Administrative Officer, with a flexible approach to work and a personable and compassionate attitude to support our SEND Team. You will provide support to the SENDCO and Deputy SENDCO.</w:t>
      </w:r>
    </w:p>
    <w:p w:rsidR="00000000" w:rsidDel="00000000" w:rsidP="00000000" w:rsidRDefault="00000000" w:rsidRPr="00000000" w14:paraId="00000014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role will be flexible as some activities will be driven by need and may be different at various times during the year.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post holder may also be asked 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 the whole school administrative work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Responsible 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  <w:tab/>
        <w:t xml:space="preserve">SENDCO (Special Educational Needs Co-ordinator)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Responsible for: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Supporting the SEN Department with all administrative tasks and ensuring accurate and up to date record keeping, line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manage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coordinate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the training of  the apprentice Teaching Assistants.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Hours of Work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37 Hours per week</w:t>
      </w:r>
    </w:p>
    <w:p w:rsidR="00000000" w:rsidDel="00000000" w:rsidP="00000000" w:rsidRDefault="00000000" w:rsidRPr="00000000" w14:paraId="0000001A">
      <w:pPr>
        <w:spacing w:after="240" w:before="240" w:lineRule="auto"/>
        <w:ind w:left="21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8.20am – 4.20pm,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Monday - Thursday, 8.20am to 3.50pm Friday.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There is a requirement of the role for an additional five days to be worked during the summer closure period to support the department with issuing exam results and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prepare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timetables for the new academic year.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Key Areas of Responsibilities</w:t>
      </w:r>
    </w:p>
    <w:p w:rsidR="00000000" w:rsidDel="00000000" w:rsidP="00000000" w:rsidRDefault="00000000" w:rsidRPr="00000000" w14:paraId="0000001F">
      <w:pPr>
        <w:spacing w:after="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swift,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efficient and accurate completion of SEND administrative work through: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supporting the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Assistant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 managing monitoring email accounts and actioning as appropriate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supporting the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Assistant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 managing diaries and appointments liaising with the Local Authority services;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organising all SEND meetings and SEND paperwork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completion of Education Health Care Plans (EHCP)  paperwork (for Years 7 to 13);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completion and recording of Children and Young Persons Service (CYPS)  referrals;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coordination and completion of all Special Educational Needs (SEN) panel paperwork;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ensuring SEND information received from parents or carers is accurate on SIMS (in school Data Management Information System)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working with the SENDCO, Deputy SENDCO and Pastoral Leader for year 7 regarding all new pupil intake, collating all SEND information and arranging all primary school visits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supporting SEND staff in maintaining accurate information on ClassCharts;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supporting attendance by making attendance calls for SEND children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take minutes in all SEND meetings;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 in the preparation of paperwork for SEN / Governor panels,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admissions and support in the movement of records between year groups/schools, including during Year 6 transition.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Line management of apprentice TA’s and liaison with the educational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establishments maintaining effective educational records for the apprentices</w:t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Ensure effective communication between SEND and other stakeholders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through: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Liasing with external agencies and organising referrals and meetings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Liaising with the attendance team and allocating attendance calls across the SEND team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liaising with the SENDCO / Deputy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Pastoral teams in detailing pupils not in normal lessons;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liaising with the Data Manager in maintaining SEND information in ClassCharts and SIMS;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liaising with the Achievement Team and AHT Pupil Achievement on the production of timetables for SEND pupils and the timely communication of this information to parents/carers and staff;</w:t>
      </w:r>
    </w:p>
    <w:p w:rsidR="00000000" w:rsidDel="00000000" w:rsidP="00000000" w:rsidRDefault="00000000" w:rsidRPr="00000000" w14:paraId="00000037">
      <w:pPr>
        <w:spacing w:after="0" w:lineRule="auto"/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Support other organisational functions in working effectively through: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Ordering supplies for the SEN department via all financial procedures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invigilator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reader and scribe in internal and external examinations;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supporting the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main office in situations of unexpected demand;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completing administrative work for the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Deputy SENDCo; 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cover SEND duties during staff absence;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24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 supervision of pupils.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left="-540" w:right="-6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above responsibilities are subject to the general duties and responsibilities contained in the Statement of Conditions of Employment.</w:t>
      </w:r>
    </w:p>
    <w:p w:rsidR="00000000" w:rsidDel="00000000" w:rsidP="00000000" w:rsidRDefault="00000000" w:rsidRPr="00000000" w14:paraId="00000042">
      <w:pPr>
        <w:spacing w:after="240" w:befor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carry out any reasonable request made by the Headteacher or line manager.</w:t>
      </w:r>
    </w:p>
    <w:p w:rsidR="00000000" w:rsidDel="00000000" w:rsidP="00000000" w:rsidRDefault="00000000" w:rsidRPr="00000000" w14:paraId="00000043">
      <w:pPr>
        <w:spacing w:after="240" w:befor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Job Description can be fully comprehensive and this is, therefore, subject to review and modification, as necessary.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…………………………………………….. (Post holder)</w:t>
      </w:r>
    </w:p>
    <w:p w:rsidR="00000000" w:rsidDel="00000000" w:rsidP="00000000" w:rsidRDefault="00000000" w:rsidRPr="00000000" w14:paraId="00000049">
      <w:pPr>
        <w:spacing w:after="240" w:before="24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Date………………………………………………………………….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G Omeg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 w:val="1"/>
    <w:pPr>
      <w:keepNext w:val="1"/>
      <w:outlineLvl w:val="3"/>
    </w:pPr>
    <w:rPr>
      <w:rFonts w:ascii="CG Omega" w:hAnsi="CG Omega"/>
      <w:b w:val="1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main" w:customStyle="1">
    <w:name w:val="main"/>
    <w:basedOn w:val="DefaultParagraphFont"/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character" w:styleId="Heading4Char" w:customStyle="1">
    <w:name w:val="Heading 4 Char"/>
    <w:link w:val="Heading4"/>
    <w:rPr>
      <w:rFonts w:ascii="CG Omega" w:hAnsi="CG Omega"/>
      <w:b w:val="1"/>
      <w:lang w:val="en-US"/>
    </w:rPr>
  </w:style>
  <w:style w:type="table" w:styleId="TableGrid">
    <w:name w:val="Table Grid"/>
    <w:basedOn w:val="TableNormal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Io3ExO1KlNRCul1gwNHLny0bw==">CgMxLjA4AHIhMXdhYlFTYUZoWkxya3hMT0ZHaTN2Y0ZJUThQTmd3ZW9q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2016-11-14T10:39:00Z</dcterms:created>
  <dc:creator>Administrator</dc:creator>
</cp:coreProperties>
</file>