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Pastoral and Attendance Support Officer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Fixed Term until Dec 31st 2025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Post:          </w:t>
        <w:tab/>
        <w:t xml:space="preserve">        </w:t>
        <w:tab/>
        <w:t xml:space="preserve">        </w:t>
        <w:tab/>
        <w:t xml:space="preserve">     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Pastoral Support Officer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Salary grade:       </w:t>
        <w:tab/>
        <w:t xml:space="preserve">     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Grade F (Term time only 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days)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(Full time salary range £28,624 - £31,067, </w:t>
      </w:r>
    </w:p>
    <w:p w:rsidR="00000000" w:rsidDel="00000000" w:rsidP="00000000" w:rsidRDefault="00000000" w:rsidRPr="00000000" w14:paraId="00000008">
      <w:pPr>
        <w:spacing w:line="276" w:lineRule="auto"/>
        <w:ind w:left="288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actual salary approx. £25,152 - £27,298)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Responsible to: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</w:t>
        <w:tab/>
        <w:t xml:space="preserve">        </w:t>
        <w:tab/>
        <w:t xml:space="preserve">Senior Pastoral Leader</w:t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Core Purpose: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support the Pastoral and Attendance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Team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ensuring positive outcomes for all learners, high quality pastoral care and safeguarding of these pupils.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 the attendance team with attendance calls and home visits.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 pupils in achieving their full academic potential and develop as well rounded citizens enabling them to progress to post 16 education or employ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ment.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Demonstrating the leadership qualities expected of a leader within Whickham School playing a full part in the life of the school community; supporting the school mission and ethos and ensuring staff and pupils follow this example.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post holder is responsible for the pastoral care and attendance of all pupils including additional support through Behaviour and Inclusion Support.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Hours of Work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hrs per week.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Some flexibility is required around the core hours of 8:15 to 16:15 –  you may be required to work any time between 8:00am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and 5:00pm (evening meetings and training are in addition to this requirement).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Additional hours worked will be deducted from the additional 10 days to the term time only days (this is an inclusive rate that is annualised).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 will be expected to work all term time days and training days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Working Days are Monday to 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Pastoral Support Officer will;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Lead intervention for pupils with regard to behaviour and emotional and social development as part of the Behaviour and Inclusion Support team.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Lead the Pastoral Support Plan process with a cohort of pupils to improve behaviour for learning, including regular meetings with parents and carers.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960"/>
        </w:tabs>
        <w:spacing w:line="274" w:lineRule="auto"/>
        <w:ind w:left="720" w:right="28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Relentlessly seek to improve the attendance of young people at Whickham School in order to meet targets set by the Headteacher and Governing Body.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960"/>
        </w:tabs>
        <w:spacing w:line="274" w:lineRule="auto"/>
        <w:ind w:left="720" w:right="28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Management and monitoring of late gate and punctuality procedures.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Ensure that parents/carers understand the importance of education and good parenting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consistently communicating school values and beliefs.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960"/>
        </w:tabs>
        <w:spacing w:line="274" w:lineRule="auto"/>
        <w:ind w:left="720" w:right="28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information technology and administration to collate information and maintain records including SIMS and CPOMS in a timely manner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Undertake telephone calls and home visits to support parents / carers, encourage students to come into school and discuss the link between absence and attainment.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Attend school and multi agency meetings to support families with the setting of targets and if necessary organise parenting contracts to be completed.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 students with individual intervention plans and monitor the process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tabs>
          <w:tab w:val="left" w:leader="none" w:pos="960"/>
        </w:tabs>
        <w:spacing w:line="274" w:lineRule="auto"/>
        <w:ind w:left="720" w:right="284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Support with transition arrangements for students entering or leaving the Academy.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80"/>
        </w:tabs>
        <w:ind w:right="-66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80"/>
        </w:tabs>
        <w:ind w:right="-66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80"/>
        </w:tabs>
        <w:ind w:right="-66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80"/>
        </w:tabs>
        <w:ind w:right="-66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80"/>
        </w:tabs>
        <w:ind w:right="-66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Build positive relationships with all pupils and their parents/carers where stakeholders are not engaging with the school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through managing an identified case load of pupils (Yr7-11); building a relationship with identified pupils; maintaining good and regular communication with pastoral leaders and the parents/carers of identified pupils; establishing a positive and productive relationship with parents/carers based upon trust and transparency; visiting families at home; ensuring appropriate pastoral staff, achievement team and classroom teachers are aware of individual pupil circumstances; attending meetings between parent/carers and school staff.</w:t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Ensure all pupils who either display significant behavioural issues or regularly do not meet behavioural expectations are supported in addressing these issues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supporting the work of the Senior Pastoral Leader within Behavioural Inclusion Support (BIS); leading intervention with individuals and small groups, reporting and analysis of Yr7-11 behavioural data and information; seeking staff and pupil feedback; developing, leading and reviewing relevant improvement plans; providing honest and accurate feedback to pupils, parents or carers and staff; following up concerns in a timely manner; ensuring good communication of issues with Pastoral Leaders and other members of the pastoral team; ensuring detailed documentation of issues, support and impact;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support pupils with their learning as directed by the child’s teacher; liaise with teaching staff in planning and adjusting learning activities as appropriate; deliver the resources provided in Behaviour Inclusion Support following the BIS timetable; provide feedback to pupils in relation to academic and behaviour progress made whilst in BIS.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Lead on the mentoring and implementation of intervention programmes for pupils with behaviour issues.</w:t>
      </w:r>
    </w:p>
    <w:p w:rsidR="00000000" w:rsidDel="00000000" w:rsidP="00000000" w:rsidRDefault="00000000" w:rsidRPr="00000000" w14:paraId="00000031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Ensure strong attendance of pupils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hrough promotion of good attendance; using school systems to monitor attendance and punctuality; implement attendance and punctuality systems; ensuring all staff record attendance accurately and in a timely manner;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engaging with pupils and their parents/carers to address attend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ance concerns (including phone calls and home visits); setting high attendance expectations. To include specific work with a cohort of persistently absent pupils.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Coordinate behaviour and wellbeing support of pupils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cooperating with staff and outside agencies to ensure pupils receive appropriate support; developing links with parents to ensure coordinated provision and exchange of information; developing pastoral support plans for individual pupils; ensuring staff use behaviour monitoring systems effectively; coordinating the rewards system for your year group; manage and supervise detentions.</w:t>
      </w:r>
    </w:p>
    <w:p w:rsidR="00000000" w:rsidDel="00000000" w:rsidP="00000000" w:rsidRDefault="00000000" w:rsidRPr="00000000" w14:paraId="00000036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Support the personal and social development of pupils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through effective mentoring and guidance; effective use of assemblies; participation in enrichment events; providing support and guidance to tutors; supporting and contributing to the citizenship programme. </w:t>
      </w:r>
    </w:p>
    <w:p w:rsidR="00000000" w:rsidDel="00000000" w:rsidP="00000000" w:rsidRDefault="00000000" w:rsidRPr="00000000" w14:paraId="00000038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Remove barriers to learning of pupils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through effective assessment of pupils' needs; communicating support requirements to relevant staff and agencies; using strategies to improve participation in school events; monitor the impact of support and adjust where necessary.</w:t>
      </w:r>
    </w:p>
    <w:p w:rsidR="00000000" w:rsidDel="00000000" w:rsidP="00000000" w:rsidRDefault="00000000" w:rsidRPr="00000000" w14:paraId="0000003A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Mentor and support pupils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through regular communication with pupils, parents and carers; ensure tutors effectively support and mentor pupils in their care; where appropriate refer pupils to external support agencies.</w:t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Provide day-to-day safeguarding for pupils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through meeting the Whickham school safeguarding policy; attending relevant CPD; using CPOMS to accurately record and act upon safeguarding issues; ensuring good communication with parents and appropriate external organisations in meeting safeguarding needs, including off-site providers.</w:t>
      </w:r>
    </w:p>
    <w:p w:rsidR="00000000" w:rsidDel="00000000" w:rsidP="00000000" w:rsidRDefault="00000000" w:rsidRPr="00000000" w14:paraId="0000003E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09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above responsibilities are subject to the general duties and responsibilities contained in the Statement of Conditions of Employment.</w:t>
      </w:r>
    </w:p>
    <w:p w:rsidR="00000000" w:rsidDel="00000000" w:rsidP="00000000" w:rsidRDefault="00000000" w:rsidRPr="00000000" w14:paraId="00000045">
      <w:pPr>
        <w:ind w:left="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09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carry out any reasonable request made by the Headteacher or line manager.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09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Job Description can be fully comprehensive and this is, therefore, subject to review and modification, as necessary.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…………………………………………….. (Post holder)</w:t>
        <w:tab/>
        <w:tab/>
        <w:tab/>
        <w:t xml:space="preserve">Date………………………………………………</w:t>
      </w:r>
    </w:p>
    <w:sectPr>
      <w:pgSz w:h="16838" w:w="11906" w:orient="portrait"/>
      <w:pgMar w:bottom="1440.0000000000002" w:top="1440.0000000000002" w:left="1559.055118110236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CG Omeg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+Z7TLaj7s/eCp9Ag+tgbcF0NA==">CgMxLjAyCGguZ2pkZ3hzOAByITFZS0JmNnRnY0g1TnlRdHhDdC1LWWVhUWszUTJBem52NA==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